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/>
        <w:jc w:val="center"/>
        <w:outlineLvl w:val="0"/>
        <w:rPr>
          <w:rStyle w:val="5"/>
          <w:rFonts w:hint="default" w:ascii="Times New Roman" w:hAnsi="Times New Roman" w:eastAsia="宋体" w:cs="Times New Roman"/>
          <w:color w:val="000000"/>
          <w:szCs w:val="18"/>
        </w:rPr>
      </w:pPr>
      <w:r>
        <w:rPr>
          <w:rStyle w:val="5"/>
          <w:rFonts w:hint="default" w:ascii="Times New Roman" w:hAnsi="Times New Roman" w:eastAsia="宋体" w:cs="Times New Roman"/>
          <w:color w:val="000000"/>
          <w:szCs w:val="18"/>
        </w:rPr>
        <w:t>广州银行红棉添盈均衡理财产品（封闭式）（TYJH23F006）2025年一季度运作报告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一、理财产品基本信息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产品名称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广州银行红棉添盈均衡理财产品（封闭式）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产品代码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bookmarkStart w:id="0" w:name="OLE_LINK1"/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TYJH23F006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银行业理财信息登记系统登记编码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C1082723000140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产品运作方式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封闭式净值型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产品收益类型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非保本浮动收益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固定收益类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发行方式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公募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业绩比较基准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3.40%-4.50%。业绩比较基准不构成广州银行对理财产品的任何收益承诺，仅作为计提业绩报酬的依据。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产品成立日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2024年04月02日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产品到期日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2025年10月14日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产品管理人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产品托管人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中国工商银行股份有限公司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二、产品表现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（一）业绩表现</w:t>
      </w:r>
    </w:p>
    <w:tbl>
      <w:tblPr>
        <w:tblStyle w:val="3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60"/>
        <w:gridCol w:w="1134"/>
        <w:gridCol w:w="1565"/>
        <w:gridCol w:w="1134"/>
        <w:gridCol w:w="1134"/>
        <w:gridCol w:w="156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产品代码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销售代码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估值日期</w:t>
            </w:r>
          </w:p>
        </w:tc>
        <w:tc>
          <w:tcPr>
            <w:tcW w:w="156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份额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单位净值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累计净值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资产净值（元）</w:t>
            </w:r>
          </w:p>
        </w:tc>
        <w:tc>
          <w:tcPr>
            <w:tcW w:w="1347" w:type="dxa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成立以来年化收益率（%）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TYJH23F006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TYJH23F006A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2025-03-31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13,084,948.00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1.0378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1.0378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13,580,556.04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TYJH23F006B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2025-03-31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630,000.00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1.0389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1.0389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654,514.55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3.9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注：报告期末本产品杠杆率为1</w:t>
      </w:r>
      <w:r>
        <w:rPr>
          <w:rFonts w:hint="default" w:ascii="Times New Roman" w:hAnsi="Times New Roman" w:eastAsia="宋体" w:cs="Times New Roman"/>
          <w:lang w:val="en-US" w:eastAsia="zh-CN"/>
        </w:rPr>
        <w:t>00.20</w:t>
      </w:r>
      <w:r>
        <w:rPr>
          <w:rFonts w:hint="default" w:ascii="Times New Roman" w:hAnsi="Times New Roman" w:eastAsia="宋体" w:cs="Times New Roman"/>
        </w:rPr>
        <w:t>%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（二）产品投资资产种类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截止2025年3月末，本产品的投资状况如下：</w:t>
      </w:r>
    </w:p>
    <w:tbl>
      <w:tblPr>
        <w:tblStyle w:val="3"/>
        <w:tblW w:w="8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56"/>
        <w:gridCol w:w="1482"/>
        <w:gridCol w:w="1482"/>
        <w:gridCol w:w="1482"/>
        <w:gridCol w:w="1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资产品种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穿透前资产金额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穿透后资产金额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固定收益类资产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848.90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59.51%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1,369.63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96.01%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其中：债券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211.27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14.81%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469.66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32.92%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存款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37.01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2.59%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299.35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20.99%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其他债权类资产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600.62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42.11%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600.62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42.10%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买入返售金融资产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公募基金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56.86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3.99%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56.86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3.99%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资产管理产品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520.65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36.50%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-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（三）前十大资产持仓情况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截止2025年3月末，本产品的前十大资产持仓情况如下：</w:t>
      </w:r>
    </w:p>
    <w:tbl>
      <w:tblPr>
        <w:tblStyle w:val="3"/>
        <w:tblW w:w="8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3309"/>
        <w:gridCol w:w="1980"/>
        <w:gridCol w:w="18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资产名称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占比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马上消费金融股份有限公司同业借款GZ-MS-20240425-1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600.62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42.19%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国投泰康信托粤盈1号集合资金信托计划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520.65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36.57%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22重庆银行永续债01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107.85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7.58%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23鹤山02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103.43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7.27%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托管账户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33.40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2.35%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鹏华研究精选灵活配置混合型证券投资基金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9.33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0.66%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华安易富黄金ETF联接C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8.61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0.60%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嘉实科技创新混合型证券投资基金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8.19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0.58%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博时恒生港股通高股息率联接C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6.01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0.42%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宏利市值优选混合型证券投资基金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4.08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0.29%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）非标资产明细</w:t>
      </w:r>
    </w:p>
    <w:tbl>
      <w:tblPr>
        <w:tblStyle w:val="3"/>
        <w:tblW w:w="9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425"/>
        <w:gridCol w:w="2520"/>
        <w:gridCol w:w="1503"/>
        <w:gridCol w:w="1080"/>
        <w:gridCol w:w="1110"/>
        <w:gridCol w:w="1080"/>
      </w:tblGrid>
      <w:tr>
        <w:trPr>
          <w:trHeight w:val="52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融资客户名称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交易结构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收益率（%)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剩余期限（月）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风险情况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马上消费金融股份有限公司同业借款GZ-MS-20240425-1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马上消费金融股份有限公司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同业借款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3.85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0.33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正常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</w:t>
      </w:r>
      <w:r>
        <w:rPr>
          <w:rFonts w:hint="default" w:ascii="Times New Roman" w:hAnsi="Times New Roman" w:eastAsia="宋体" w:cs="Times New Roman"/>
          <w:lang w:eastAsia="zh-CN"/>
        </w:rPr>
        <w:t>五</w:t>
      </w:r>
      <w:r>
        <w:rPr>
          <w:rFonts w:hint="default" w:ascii="Times New Roman" w:hAnsi="Times New Roman" w:eastAsia="宋体" w:cs="Times New Roman"/>
        </w:rPr>
        <w:t>）报告期内关联交易情况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1.</w:t>
      </w:r>
      <w:bookmarkStart w:id="1" w:name="OLE_LINK2"/>
      <w:bookmarkStart w:id="2" w:name="OLE_LINK4"/>
      <w:r>
        <w:rPr>
          <w:rFonts w:hint="default" w:ascii="Times New Roman" w:hAnsi="Times New Roman" w:eastAsia="宋体" w:cs="Times New Roman"/>
          <w:sz w:val="18"/>
          <w:szCs w:val="18"/>
        </w:rPr>
        <w:t>本产品在报告期内全部关联交易均按照公允价格开展，</w:t>
      </w:r>
      <w:r>
        <w:rPr>
          <w:rFonts w:hint="default" w:ascii="Times New Roman" w:hAnsi="Times New Roman" w:eastAsia="宋体" w:cs="Times New Roman"/>
        </w:rPr>
        <w:t>产品持有关联方发行或承销的证券</w:t>
      </w:r>
      <w:r>
        <w:rPr>
          <w:rFonts w:hint="default" w:ascii="Times New Roman" w:hAnsi="Times New Roman" w:eastAsia="宋体" w:cs="Times New Roman"/>
          <w:lang w:eastAsia="zh-CN"/>
        </w:rPr>
        <w:t>情况如下：</w:t>
      </w:r>
      <w:bookmarkEnd w:id="1"/>
      <w:bookmarkEnd w:id="2"/>
    </w:p>
    <w:tbl>
      <w:tblPr>
        <w:tblStyle w:val="8"/>
        <w:tblW w:w="7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8"/>
        <w:gridCol w:w="1038"/>
        <w:gridCol w:w="1038"/>
        <w:gridCol w:w="1038"/>
        <w:gridCol w:w="122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证券简称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证券类别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持有数量(份)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关联方名称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关联方角色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易方达沪深300ETF联接C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基金类资产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257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3.93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易方达基金管理有限公司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  <w:t>管理人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2.其他重大关联交易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无。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投资账户信息</w:t>
      </w:r>
    </w:p>
    <w:tbl>
      <w:tblPr>
        <w:tblStyle w:val="3"/>
        <w:tblW w:w="9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1504"/>
        <w:gridCol w:w="2416"/>
        <w:gridCol w:w="3250"/>
        <w:gridCol w:w="1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账户类型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账户编号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账户名称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开户单位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托管账户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8888600000029942311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穗广州银行</w:t>
            </w:r>
            <w:bookmarkStart w:id="3" w:name="_GoBack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TYJH23F006</w:t>
            </w:r>
            <w:bookmarkEnd w:id="3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ENF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中国工商银行股份有限公司广州南方支行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（七）产品流动性风险分析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本产品流动性风险整体可控。我行根据产品组合存续期限，利用长、短久期资产进行组合配置，视市场行情动态调整组合仓位，有效降低了流动性风险。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本产品运作至今，运作平稳。我行承诺以诚实信用、勤勉尽责的原则管理和运用本产品资产，但不保证产品一定盈利。本产品的过往业绩并不代表其未来表现。投资有风险，敬请投资者留意本产品公告。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感谢您一直以来对广州银行的支持！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广州银行股份有限公司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2025年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18"/>
          <w:szCs w:val="18"/>
        </w:rPr>
        <w:t>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18"/>
          <w:szCs w:val="18"/>
        </w:rPr>
        <w:t>日</w:t>
      </w:r>
    </w:p>
    <w:p>
      <w:pPr>
        <w:ind w:firstLine="0" w:firstLineChars="0"/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60"/>
      </w:pPr>
      <w:r>
        <w:separator/>
      </w:r>
    </w:p>
  </w:endnote>
  <w:endnote w:type="continuationSeparator" w:id="1">
    <w:p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360"/>
      </w:pPr>
      <w:r>
        <w:separator/>
      </w:r>
    </w:p>
  </w:footnote>
  <w:footnote w:type="continuationSeparator" w:id="1">
    <w:p>
      <w:pPr>
        <w:spacing w:line="300" w:lineRule="auto"/>
        <w:ind w:firstLine="3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jU4ZjJjY2EzMDM5Zjk5ZGJkMmY4NDliOGM5MmYifQ=="/>
    <w:docVar w:name="KSO_WPS_MARK_KEY" w:val="3ce6eaad-a6da-4232-ac52-863ac5d90fa2"/>
  </w:docVars>
  <w:rsids>
    <w:rsidRoot w:val="00ED0941"/>
    <w:rsid w:val="0033288B"/>
    <w:rsid w:val="003B3608"/>
    <w:rsid w:val="003E5116"/>
    <w:rsid w:val="004D2E64"/>
    <w:rsid w:val="007F0EBD"/>
    <w:rsid w:val="007F2844"/>
    <w:rsid w:val="00B11F1A"/>
    <w:rsid w:val="00BC053B"/>
    <w:rsid w:val="00C938D1"/>
    <w:rsid w:val="00CE5D11"/>
    <w:rsid w:val="00ED0941"/>
    <w:rsid w:val="02317F64"/>
    <w:rsid w:val="0520397D"/>
    <w:rsid w:val="08AF76A3"/>
    <w:rsid w:val="0BFA2DB1"/>
    <w:rsid w:val="0DE304BF"/>
    <w:rsid w:val="14131CED"/>
    <w:rsid w:val="1620181C"/>
    <w:rsid w:val="16457F16"/>
    <w:rsid w:val="167A7A95"/>
    <w:rsid w:val="16BC6E20"/>
    <w:rsid w:val="18867BA1"/>
    <w:rsid w:val="18B96A7C"/>
    <w:rsid w:val="1C7E4CB0"/>
    <w:rsid w:val="1FC43482"/>
    <w:rsid w:val="31EA1881"/>
    <w:rsid w:val="32940287"/>
    <w:rsid w:val="3A156715"/>
    <w:rsid w:val="3B1C7EAD"/>
    <w:rsid w:val="3E7D4EE4"/>
    <w:rsid w:val="40DC4766"/>
    <w:rsid w:val="47E12818"/>
    <w:rsid w:val="4BEF2903"/>
    <w:rsid w:val="4DCD08AD"/>
    <w:rsid w:val="50325F11"/>
    <w:rsid w:val="57703809"/>
    <w:rsid w:val="5BE14DC9"/>
    <w:rsid w:val="628277C2"/>
    <w:rsid w:val="63AA01DC"/>
    <w:rsid w:val="659A46F1"/>
    <w:rsid w:val="65CD5D2C"/>
    <w:rsid w:val="67D8058A"/>
    <w:rsid w:val="6C2F3EF9"/>
    <w:rsid w:val="7325566E"/>
    <w:rsid w:val="79EA6895"/>
    <w:rsid w:val="7D515063"/>
    <w:rsid w:val="7F4461A3"/>
    <w:rsid w:val="7F9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Calibri" w:hAnsi="Calibri" w:eastAsia="宋体" w:cs="Times New Roman"/>
      <w:b/>
      <w:kern w:val="44"/>
      <w:sz w:val="18"/>
    </w:rPr>
  </w:style>
  <w:style w:type="paragraph" w:customStyle="1" w:styleId="6">
    <w:name w:val="标题（一）"/>
    <w:basedOn w:val="1"/>
    <w:qFormat/>
    <w:uiPriority w:val="0"/>
    <w:pPr>
      <w:widowControl/>
      <w:spacing w:before="120" w:after="120" w:line="360" w:lineRule="atLeast"/>
      <w:ind w:left="420" w:leftChars="200" w:firstLine="0" w:firstLineChars="0"/>
      <w:jc w:val="left"/>
      <w:outlineLvl w:val="0"/>
    </w:pPr>
    <w:rPr>
      <w:rFonts w:hint="eastAsia" w:ascii="宋体" w:hAnsi="宋体"/>
      <w:color w:val="000000" w:themeColor="text1"/>
      <w:kern w:val="0"/>
      <w:szCs w:val="18"/>
      <w14:textFill>
        <w14:solidFill>
          <w14:schemeClr w14:val="tx1"/>
        </w14:solidFill>
      </w14:textFill>
    </w:rPr>
  </w:style>
  <w:style w:type="paragraph" w:customStyle="1" w:styleId="7">
    <w:name w:val="表格"/>
    <w:basedOn w:val="1"/>
    <w:qFormat/>
    <w:uiPriority w:val="0"/>
    <w:pPr>
      <w:ind w:firstLine="0" w:firstLineChars="0"/>
      <w:jc w:val="left"/>
    </w:pPr>
    <w:rPr>
      <w:rFonts w:hint="eastAsia" w:ascii="宋体" w:hAnsi="宋体" w:cs="宋体"/>
      <w:color w:val="000000"/>
      <w:szCs w:val="18"/>
    </w:rPr>
  </w:style>
  <w:style w:type="table" w:customStyle="1" w:styleId="8">
    <w:name w:val="dqbgxx"/>
    <w:basedOn w:val="3"/>
    <w:qFormat/>
    <w:uiPriority w:val="99"/>
    <w:pPr>
      <w:spacing w:line="288" w:lineRule="auto"/>
      <w:jc w:val="center"/>
    </w:pPr>
    <w:rPr>
      <w:rFonts w:eastAsia="黑体"/>
      <w:color w:val="000000"/>
      <w:sz w:val="22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eastAsia="黑体"/>
        <w:b/>
        <w:sz w:val="22"/>
      </w:rPr>
    </w:tblStylePr>
    <w:tblStylePr w:type="firstCol">
      <w:rPr>
        <w:rFonts w:eastAsia="黑体"/>
        <w:b/>
      </w:rPr>
    </w:tblStylePr>
  </w:style>
  <w:style w:type="paragraph" w:customStyle="1" w:styleId="9">
    <w:name w:val="结尾"/>
    <w:basedOn w:val="1"/>
    <w:qFormat/>
    <w:uiPriority w:val="0"/>
    <w:pPr>
      <w:widowControl/>
      <w:spacing w:before="120" w:after="120" w:line="360" w:lineRule="atLeast"/>
      <w:ind w:firstLine="0" w:firstLineChars="0"/>
      <w:jc w:val="center"/>
      <w:outlineLvl w:val="0"/>
    </w:pPr>
    <w:rPr>
      <w:rFonts w:hint="eastAsia" w:ascii="宋体" w:hAnsi="宋体"/>
      <w:kern w:val="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1172</Words>
  <Characters>1629</Characters>
  <Lines>10</Lines>
  <Paragraphs>3</Paragraphs>
  <TotalTime>0</TotalTime>
  <ScaleCrop>false</ScaleCrop>
  <LinksUpToDate>false</LinksUpToDate>
  <CharactersWithSpaces>1629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w_wangweihua</dc:creator>
  <cp:lastModifiedBy>Echo</cp:lastModifiedBy>
  <dcterms:modified xsi:type="dcterms:W3CDTF">2025-04-11T06:35:00Z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252FC1CCCD8C4ECFB51E8C312261C5B6_13</vt:lpwstr>
  </property>
</Properties>
</file>