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1"/>
        <w:jc w:val="center"/>
        <w:outlineLvl w:val="0"/>
        <w:rPr>
          <w:rStyle w:val="5"/>
          <w:rFonts w:hint="default" w:ascii="Times New Roman" w:hAnsi="Times New Roman" w:eastAsia="宋体" w:cs="Times New Roman"/>
          <w:color w:val="000000"/>
          <w:szCs w:val="18"/>
        </w:rPr>
      </w:pPr>
      <w:r>
        <w:rPr>
          <w:rStyle w:val="5"/>
          <w:rFonts w:hint="default" w:ascii="Times New Roman" w:hAnsi="Times New Roman" w:eastAsia="宋体" w:cs="Times New Roman"/>
          <w:color w:val="000000"/>
          <w:szCs w:val="18"/>
        </w:rPr>
        <w:t>广州银行红棉添盈均衡理财产品（封闭式）（TYJH24F003）2025年一季度运作报告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一、理财产品基本信息</w:t>
      </w: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5"/>
        <w:gridCol w:w="6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产品名称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广州银行红棉添盈均衡理财产品（封闭式）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产品代码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TYJH24F003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银行业理财信息登记系统登记编码</w:t>
            </w:r>
          </w:p>
        </w:tc>
        <w:tc>
          <w:tcPr>
            <w:tcW w:w="6197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C1082724000060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产品运作方式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封闭式净值型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产品收益类型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非保本浮动收益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产品类型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固定收益类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发行方式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公募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业绩比较基准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2.70%-3.40%。业绩比较基准不构成广州银行对理财产品的任何收益承诺，仅作为计提业绩报酬的依据。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产品成立日</w:t>
            </w:r>
          </w:p>
        </w:tc>
        <w:tc>
          <w:tcPr>
            <w:tcW w:w="6197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2024年11月05日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产品到期日</w:t>
            </w:r>
          </w:p>
        </w:tc>
        <w:tc>
          <w:tcPr>
            <w:tcW w:w="6197" w:type="dxa"/>
            <w:vAlign w:val="center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2025年11月25日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产品管理人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广州银行股份有限公司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325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产品托管人</w:t>
            </w:r>
          </w:p>
        </w:tc>
        <w:tc>
          <w:tcPr>
            <w:tcW w:w="6197" w:type="dxa"/>
          </w:tcPr>
          <w:p>
            <w:pPr>
              <w:ind w:firstLine="0" w:firstLineChars="0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中国工商银行股份有限公司</w:t>
            </w:r>
          </w:p>
        </w:tc>
      </w:tr>
    </w:tbl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二、产品表现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（一）业绩表现</w:t>
      </w:r>
    </w:p>
    <w:tbl>
      <w:tblPr>
        <w:tblStyle w:val="3"/>
        <w:tblW w:w="10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8"/>
        <w:gridCol w:w="1560"/>
        <w:gridCol w:w="1134"/>
        <w:gridCol w:w="1565"/>
        <w:gridCol w:w="1134"/>
        <w:gridCol w:w="1134"/>
        <w:gridCol w:w="1560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28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产品代码</w:t>
            </w: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销售代码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估值日期</w:t>
            </w:r>
          </w:p>
        </w:tc>
        <w:tc>
          <w:tcPr>
            <w:tcW w:w="1565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份额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单位净值</w:t>
            </w:r>
          </w:p>
        </w:tc>
        <w:tc>
          <w:tcPr>
            <w:tcW w:w="1134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累计净值</w:t>
            </w:r>
          </w:p>
        </w:tc>
        <w:tc>
          <w:tcPr>
            <w:tcW w:w="1560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资产净值（元）</w:t>
            </w:r>
          </w:p>
        </w:tc>
        <w:tc>
          <w:tcPr>
            <w:tcW w:w="1347" w:type="dxa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</w:rPr>
              <w:t>成立以来年化收益率（%）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112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TYJH24F003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TYJH24F003A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2025-03-31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20,788,988.00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1.0129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1.0129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21,057,491.02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3.2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TYJH24F003B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2025-03-31</w:t>
            </w:r>
          </w:p>
        </w:tc>
        <w:tc>
          <w:tcPr>
            <w:tcW w:w="15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13,117,144.00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1.0133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1.0133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13,291,908.97</w:t>
            </w:r>
          </w:p>
        </w:tc>
        <w:tc>
          <w:tcPr>
            <w:tcW w:w="134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Cs w:val="18"/>
              </w:rPr>
              <w:t>3.3</w:t>
            </w:r>
          </w:p>
        </w:tc>
      </w:tr>
    </w:tbl>
    <w:p>
      <w:pPr>
        <w:pStyle w:val="6"/>
        <w:spacing w:line="360" w:lineRule="exact"/>
        <w:ind w:left="0" w:leftChars="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注：报告期末本产品杠杆率为1</w:t>
      </w:r>
      <w:r>
        <w:rPr>
          <w:rFonts w:hint="default" w:ascii="Times New Roman" w:hAnsi="Times New Roman" w:eastAsia="宋体" w:cs="Times New Roman"/>
          <w:lang w:val="en-US" w:eastAsia="zh-CN"/>
        </w:rPr>
        <w:t>00.16</w:t>
      </w:r>
      <w:r>
        <w:rPr>
          <w:rFonts w:hint="default" w:ascii="Times New Roman" w:hAnsi="Times New Roman" w:eastAsia="宋体" w:cs="Times New Roman"/>
        </w:rPr>
        <w:t>%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（二）产品投资资产种类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Cs w:val="18"/>
        </w:rPr>
        <w:t>截止2025年3月末，本产品的投资状况如下：</w:t>
      </w:r>
    </w:p>
    <w:tbl>
      <w:tblPr>
        <w:tblStyle w:val="3"/>
        <w:tblW w:w="8519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4"/>
        <w:gridCol w:w="1556"/>
        <w:gridCol w:w="1482"/>
        <w:gridCol w:w="1482"/>
        <w:gridCol w:w="1482"/>
        <w:gridCol w:w="149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资产品种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穿透前资产金额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（万元）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占组合总资产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比例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穿透后资产金额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（万元）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占组合总资产</w:t>
            </w:r>
          </w:p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Cs w:val="18"/>
                <w:lang w:bidi="ar"/>
              </w:rPr>
              <w:t>比例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1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固定收益类资产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411.22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11.95%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3,359.45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97.63%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bidi="ar"/>
              </w:rPr>
              <w:t>其中：债券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1,462.94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42.52%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bidi="ar"/>
              </w:rPr>
              <w:t>存款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10.93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0.32%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1,496.22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43.48%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9"/>
                <w:szCs w:val="19"/>
                <w:lang w:bidi="ar"/>
              </w:rPr>
              <w:t>其他债权类资产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400.29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11.63%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400.29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11.63%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2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买入返售金融资产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-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3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公募基金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81.47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2.37%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81.47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2.37%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4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textAlignment w:val="top"/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color w:val="000000"/>
                <w:kern w:val="0"/>
                <w:sz w:val="19"/>
                <w:szCs w:val="19"/>
                <w:lang w:bidi="ar"/>
              </w:rPr>
              <w:t>资产管理产品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2,947.78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85.68%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-</w:t>
            </w:r>
          </w:p>
        </w:tc>
        <w:tc>
          <w:tcPr>
            <w:tcW w:w="1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-</w:t>
            </w:r>
          </w:p>
        </w:tc>
      </w:tr>
    </w:tbl>
    <w:p>
      <w:pPr>
        <w:pStyle w:val="6"/>
        <w:spacing w:line="360" w:lineRule="exact"/>
        <w:ind w:left="0" w:leftChars="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注：占比结果保留两位小数，可能存在尾差。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（三）前十大资产持仓情况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Cs w:val="18"/>
        </w:rPr>
        <w:t>截止2025年3月末，本产品的前十大资产持仓情况如下：</w:t>
      </w:r>
    </w:p>
    <w:tbl>
      <w:tblPr>
        <w:tblStyle w:val="3"/>
        <w:tblW w:w="8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3309"/>
        <w:gridCol w:w="1980"/>
        <w:gridCol w:w="180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资产名称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持有金额（万元）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占比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国投泰康信托粤盈1号集合资金信托计划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2,947.78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85.82%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2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马上消费金融股份有限公司同业借款GZ-MS-20241127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400.29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11.65%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3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易方达沪深300ETF联接C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30.90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0.90%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托管账户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10.93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0.32%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5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中欧成长优选回报A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10.77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0.31%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6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景顺长城中证红利低波动100联接C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9.80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0.29%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7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博时恒生港股通高股息率联接C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7.01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0.20%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8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嘉实科技创新混合型证券投资基金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5.86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0.17%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9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宏利市值优选混合型证券投资基金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5.10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0.15%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10</w:t>
            </w:r>
          </w:p>
        </w:tc>
        <w:tc>
          <w:tcPr>
            <w:tcW w:w="3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景顺长城公司治理混合型证券投资基金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4.87</w:t>
            </w:r>
          </w:p>
        </w:tc>
        <w:tc>
          <w:tcPr>
            <w:tcW w:w="1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</w:rPr>
              <w:t>0.14%</w:t>
            </w:r>
          </w:p>
        </w:tc>
      </w:tr>
    </w:tbl>
    <w:p>
      <w:pPr>
        <w:pStyle w:val="6"/>
        <w:spacing w:line="360" w:lineRule="exact"/>
        <w:ind w:left="0" w:leftChars="0"/>
        <w:outlineLvl w:val="9"/>
        <w:rPr>
          <w:rFonts w:hint="default" w:ascii="Times New Roman" w:hAnsi="Times New Roman" w:eastAsia="宋体" w:cs="Times New Roman"/>
          <w:color w:val="000000"/>
        </w:rPr>
      </w:pPr>
      <w:r>
        <w:rPr>
          <w:rFonts w:hint="default" w:ascii="Times New Roman" w:hAnsi="Times New Roman" w:eastAsia="宋体" w:cs="Times New Roman"/>
        </w:rPr>
        <w:t>注：占比结果保留两位小数，可能存在尾差。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</w:pPr>
      <w:bookmarkStart w:id="0" w:name="OLE_LINK1"/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四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）非标资产明细</w:t>
      </w:r>
    </w:p>
    <w:bookmarkEnd w:id="0"/>
    <w:tbl>
      <w:tblPr>
        <w:tblStyle w:val="3"/>
        <w:tblW w:w="922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7"/>
        <w:gridCol w:w="1425"/>
        <w:gridCol w:w="2520"/>
        <w:gridCol w:w="1503"/>
        <w:gridCol w:w="1080"/>
        <w:gridCol w:w="1110"/>
        <w:gridCol w:w="1080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项目名称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融资客户名称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交易结构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收益率（%)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剩余期限（月）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风险情况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7" w:hRule="atLeast"/>
          <w:jc w:val="center"/>
        </w:trPr>
        <w:tc>
          <w:tcPr>
            <w:tcW w:w="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马上消费金融股份有限公司同业借款GZ-MS-20241127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马上消费金融股份有限公司</w:t>
            </w:r>
          </w:p>
        </w:tc>
        <w:tc>
          <w:tcPr>
            <w:tcW w:w="15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同业借款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2.85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1.93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正常</w:t>
            </w:r>
          </w:p>
        </w:tc>
      </w:tr>
    </w:tbl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（</w:t>
      </w:r>
      <w:r>
        <w:rPr>
          <w:rFonts w:hint="default" w:ascii="Times New Roman" w:hAnsi="Times New Roman" w:eastAsia="宋体" w:cs="Times New Roman"/>
          <w:lang w:eastAsia="zh-CN"/>
        </w:rPr>
        <w:t>五</w:t>
      </w:r>
      <w:r>
        <w:rPr>
          <w:rFonts w:hint="default" w:ascii="Times New Roman" w:hAnsi="Times New Roman" w:eastAsia="宋体" w:cs="Times New Roman"/>
        </w:rPr>
        <w:t>）报告期内关联交易情况</w:t>
      </w:r>
    </w:p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1.</w:t>
      </w:r>
      <w:bookmarkStart w:id="1" w:name="OLE_LINK4"/>
      <w:bookmarkStart w:id="2" w:name="OLE_LINK2"/>
      <w:r>
        <w:rPr>
          <w:rFonts w:hint="default" w:ascii="Times New Roman" w:hAnsi="Times New Roman" w:eastAsia="宋体" w:cs="Times New Roman"/>
          <w:sz w:val="18"/>
          <w:szCs w:val="18"/>
        </w:rPr>
        <w:t>本产品在报告期内全部关联交易均按照公允价格开展，</w:t>
      </w:r>
      <w:r>
        <w:rPr>
          <w:rFonts w:hint="default" w:ascii="Times New Roman" w:hAnsi="Times New Roman" w:eastAsia="宋体" w:cs="Times New Roman"/>
        </w:rPr>
        <w:t>产品持有关联方发行或承销的证券</w:t>
      </w:r>
      <w:r>
        <w:rPr>
          <w:rFonts w:hint="default" w:ascii="Times New Roman" w:hAnsi="Times New Roman" w:eastAsia="宋体" w:cs="Times New Roman"/>
          <w:lang w:eastAsia="zh-CN"/>
        </w:rPr>
        <w:t>情况如下：</w:t>
      </w:r>
      <w:bookmarkEnd w:id="1"/>
      <w:bookmarkEnd w:id="2"/>
    </w:p>
    <w:tbl>
      <w:tblPr>
        <w:tblStyle w:val="8"/>
        <w:tblW w:w="75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1038"/>
        <w:gridCol w:w="1038"/>
        <w:gridCol w:w="1038"/>
        <w:gridCol w:w="1038"/>
        <w:gridCol w:w="1220"/>
        <w:gridCol w:w="1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序号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证券简称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证券类别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持有数量(份)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持有金额（万元）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关联方名称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  <w:t>关联方角色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1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易方达沪深300ETF联接C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基金类资产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2,020</w:t>
            </w:r>
          </w:p>
        </w:tc>
        <w:tc>
          <w:tcPr>
            <w:tcW w:w="1038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30.90</w:t>
            </w:r>
          </w:p>
        </w:tc>
        <w:tc>
          <w:tcPr>
            <w:tcW w:w="122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val="en-US" w:eastAsia="zh-CN" w:bidi="ar"/>
              </w:rPr>
              <w:t>易方达基金管理有限公司</w:t>
            </w:r>
          </w:p>
        </w:tc>
        <w:tc>
          <w:tcPr>
            <w:tcW w:w="1170" w:type="dxa"/>
            <w:vAlign w:val="center"/>
          </w:tcPr>
          <w:p>
            <w:pPr>
              <w:widowControl/>
              <w:ind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Cs w:val="18"/>
                <w:lang w:eastAsia="zh-CN" w:bidi="ar"/>
              </w:rPr>
              <w:t>管理人</w:t>
            </w:r>
          </w:p>
        </w:tc>
      </w:tr>
    </w:tbl>
    <w:p>
      <w:pPr>
        <w:pStyle w:val="6"/>
        <w:spacing w:line="360" w:lineRule="exact"/>
        <w:ind w:left="360"/>
        <w:outlineLvl w:val="9"/>
        <w:rPr>
          <w:rFonts w:hint="default" w:ascii="Times New Roman" w:hAnsi="Times New Roman" w:eastAsia="宋体" w:cs="Times New Roman"/>
        </w:rPr>
      </w:pPr>
      <w:r>
        <w:rPr>
          <w:rFonts w:hint="default" w:ascii="Times New Roman" w:hAnsi="Times New Roman" w:eastAsia="宋体" w:cs="Times New Roman"/>
        </w:rPr>
        <w:t>2.其他重大关联交易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无。</w:t>
      </w:r>
    </w:p>
    <w:p>
      <w:pPr>
        <w:spacing w:before="120" w:after="120" w:line="360" w:lineRule="exact"/>
        <w:ind w:firstLine="360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六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eastAsia="zh-CN"/>
        </w:rPr>
        <w:t>）</w:t>
      </w: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投资账户信息</w:t>
      </w:r>
    </w:p>
    <w:tbl>
      <w:tblPr>
        <w:tblStyle w:val="3"/>
        <w:tblW w:w="9852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4"/>
        <w:gridCol w:w="1504"/>
        <w:gridCol w:w="2416"/>
        <w:gridCol w:w="3250"/>
        <w:gridCol w:w="161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序号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账户类型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账户编号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账户名称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开户单位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  <w:jc w:val="center"/>
        </w:trPr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top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highlight w:val="none"/>
              </w:rPr>
              <w:t>1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  <w:t>托管账户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8888600000030356174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穗广州银行</w:t>
            </w:r>
            <w:bookmarkStart w:id="3" w:name="_GoBack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TYJH24F003</w:t>
            </w:r>
            <w:bookmarkEnd w:id="3"/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ENF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textAlignment w:val="bottom"/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18"/>
                <w:szCs w:val="18"/>
                <w:highlight w:val="none"/>
                <w:lang w:val="en-US" w:eastAsia="zh-CN" w:bidi="ar"/>
              </w:rPr>
              <w:t>中国工商银行股份有限公司广州南方支行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（七）产品流动性风险分析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  <w:lang w:val="en-US" w:eastAsia="zh-CN"/>
        </w:rPr>
        <w:t>本产品流动性风险整体可控。我行根据产品组合存续期限，利用长、短久期资产进行组合配置，视市场行情动态调整组合仓位，有效降低了流动性风险。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本产品运作至今，运作平稳。我行承诺以诚实信用、勤勉尽责的原则管理和运用本产品资产，但不保证产品一定盈利。本产品的过往业绩并不代表其未来表现。投资有风险，敬请投资者留意本产品公告。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  <w:r>
        <w:rPr>
          <w:rFonts w:hint="default" w:ascii="Times New Roman" w:hAnsi="Times New Roman" w:eastAsia="宋体" w:cs="Times New Roman"/>
          <w:color w:val="000000"/>
          <w:sz w:val="18"/>
          <w:szCs w:val="18"/>
        </w:rPr>
        <w:t>感谢您一直以来对广州银行的支持！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120" w:line="360" w:lineRule="exact"/>
        <w:ind w:firstLine="360"/>
        <w:textAlignment w:val="auto"/>
        <w:rPr>
          <w:rFonts w:hint="default" w:ascii="Times New Roman" w:hAnsi="Times New Roman" w:eastAsia="宋体" w:cs="Times New Roman"/>
          <w:color w:val="000000"/>
          <w:sz w:val="18"/>
          <w:szCs w:val="18"/>
        </w:rPr>
      </w:pP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广州银行股份有限公司</w:t>
      </w:r>
    </w:p>
    <w:p>
      <w:pPr>
        <w:pStyle w:val="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outlineLvl w:val="9"/>
        <w:rPr>
          <w:rFonts w:hint="default" w:ascii="Times New Roman" w:hAnsi="Times New Roman" w:eastAsia="宋体" w:cs="Times New Roman"/>
          <w:sz w:val="18"/>
          <w:szCs w:val="18"/>
        </w:rPr>
      </w:pPr>
      <w:r>
        <w:rPr>
          <w:rFonts w:hint="default" w:ascii="Times New Roman" w:hAnsi="Times New Roman" w:eastAsia="宋体" w:cs="Times New Roman"/>
          <w:sz w:val="18"/>
          <w:szCs w:val="18"/>
        </w:rPr>
        <w:t>2025年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sz w:val="18"/>
          <w:szCs w:val="18"/>
        </w:rPr>
        <w:t>月</w:t>
      </w:r>
      <w:r>
        <w:rPr>
          <w:rFonts w:hint="default" w:ascii="Times New Roman" w:hAnsi="Times New Roman" w:eastAsia="宋体" w:cs="Times New Roman"/>
          <w:sz w:val="18"/>
          <w:szCs w:val="18"/>
          <w:lang w:val="en-US" w:eastAsia="zh-CN"/>
        </w:rPr>
        <w:t>22</w:t>
      </w:r>
      <w:r>
        <w:rPr>
          <w:rFonts w:hint="default" w:ascii="Times New Roman" w:hAnsi="Times New Roman" w:eastAsia="宋体" w:cs="Times New Roman"/>
          <w:sz w:val="18"/>
          <w:szCs w:val="18"/>
        </w:rPr>
        <w:t>日</w:t>
      </w:r>
    </w:p>
    <w:p>
      <w:pPr>
        <w:ind w:firstLine="0" w:firstLineChars="0"/>
        <w:rPr>
          <w:rFonts w:hint="default" w:ascii="Times New Roman" w:hAnsi="Times New Roman" w:eastAsia="宋体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360"/>
      </w:pPr>
      <w:r>
        <w:separator/>
      </w:r>
    </w:p>
  </w:endnote>
  <w:endnote w:type="continuationSeparator" w:id="1">
    <w:p>
      <w:pPr>
        <w:spacing w:line="240" w:lineRule="auto"/>
        <w:ind w:firstLine="3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  <w:ind w:firstLine="360"/>
      </w:pPr>
      <w:r>
        <w:separator/>
      </w:r>
    </w:p>
  </w:footnote>
  <w:footnote w:type="continuationSeparator" w:id="1">
    <w:p>
      <w:pPr>
        <w:spacing w:line="300" w:lineRule="auto"/>
        <w:ind w:firstLine="3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1YjU4ZjJjY2EzMDM5Zjk5ZGJkMmY4NDliOGM5MmYifQ=="/>
    <w:docVar w:name="KSO_WPS_MARK_KEY" w:val="10b80c68-500e-4258-8b4e-7a7d304c7013"/>
  </w:docVars>
  <w:rsids>
    <w:rsidRoot w:val="006C7EA0"/>
    <w:rsid w:val="006C7EA0"/>
    <w:rsid w:val="00A15122"/>
    <w:rsid w:val="00AB4D05"/>
    <w:rsid w:val="00B95FD5"/>
    <w:rsid w:val="00C938D1"/>
    <w:rsid w:val="00C95D21"/>
    <w:rsid w:val="00E67D11"/>
    <w:rsid w:val="02317F64"/>
    <w:rsid w:val="0520397D"/>
    <w:rsid w:val="08AF76A3"/>
    <w:rsid w:val="0BFA2DB1"/>
    <w:rsid w:val="0DE304BF"/>
    <w:rsid w:val="14131CED"/>
    <w:rsid w:val="1620181C"/>
    <w:rsid w:val="16457F16"/>
    <w:rsid w:val="167A7A95"/>
    <w:rsid w:val="18867BA1"/>
    <w:rsid w:val="18B96A7C"/>
    <w:rsid w:val="1C7E4CB0"/>
    <w:rsid w:val="1FC43482"/>
    <w:rsid w:val="2B813530"/>
    <w:rsid w:val="31EA1881"/>
    <w:rsid w:val="32940287"/>
    <w:rsid w:val="37FA3E20"/>
    <w:rsid w:val="3A156715"/>
    <w:rsid w:val="3B1C7EAD"/>
    <w:rsid w:val="3E7D4EE4"/>
    <w:rsid w:val="40DC4766"/>
    <w:rsid w:val="47E12818"/>
    <w:rsid w:val="4BEF2903"/>
    <w:rsid w:val="4DCD08AD"/>
    <w:rsid w:val="57703809"/>
    <w:rsid w:val="5A61118B"/>
    <w:rsid w:val="628277C2"/>
    <w:rsid w:val="63AA01DC"/>
    <w:rsid w:val="659A46F1"/>
    <w:rsid w:val="65CD5D2C"/>
    <w:rsid w:val="67D8058A"/>
    <w:rsid w:val="6C2F3EF9"/>
    <w:rsid w:val="7325566E"/>
    <w:rsid w:val="78F1451C"/>
    <w:rsid w:val="79EA6895"/>
    <w:rsid w:val="7D515063"/>
    <w:rsid w:val="7F4461A3"/>
    <w:rsid w:val="7F96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00" w:lineRule="auto"/>
      <w:ind w:firstLine="420" w:firstLineChars="200"/>
      <w:jc w:val="both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after="330" w:line="576" w:lineRule="auto"/>
      <w:jc w:val="center"/>
      <w:outlineLvl w:val="0"/>
    </w:pPr>
    <w:rPr>
      <w:b/>
      <w:kern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link w:val="2"/>
    <w:qFormat/>
    <w:uiPriority w:val="0"/>
    <w:rPr>
      <w:rFonts w:ascii="Calibri" w:hAnsi="Calibri" w:eastAsia="宋体" w:cs="Times New Roman"/>
      <w:b/>
      <w:kern w:val="44"/>
      <w:sz w:val="18"/>
    </w:rPr>
  </w:style>
  <w:style w:type="paragraph" w:customStyle="1" w:styleId="6">
    <w:name w:val="标题（一）"/>
    <w:basedOn w:val="1"/>
    <w:qFormat/>
    <w:uiPriority w:val="0"/>
    <w:pPr>
      <w:widowControl/>
      <w:spacing w:before="120" w:after="120" w:line="360" w:lineRule="atLeast"/>
      <w:ind w:left="420" w:leftChars="200" w:firstLine="0" w:firstLineChars="0"/>
      <w:jc w:val="left"/>
      <w:outlineLvl w:val="0"/>
    </w:pPr>
    <w:rPr>
      <w:rFonts w:hint="eastAsia" w:ascii="宋体" w:hAnsi="宋体"/>
      <w:color w:val="000000" w:themeColor="text1"/>
      <w:kern w:val="0"/>
      <w:szCs w:val="18"/>
      <w14:textFill>
        <w14:solidFill>
          <w14:schemeClr w14:val="tx1"/>
        </w14:solidFill>
      </w14:textFill>
    </w:rPr>
  </w:style>
  <w:style w:type="paragraph" w:customStyle="1" w:styleId="7">
    <w:name w:val="表格"/>
    <w:basedOn w:val="1"/>
    <w:qFormat/>
    <w:uiPriority w:val="0"/>
    <w:pPr>
      <w:ind w:firstLine="0" w:firstLineChars="0"/>
      <w:jc w:val="left"/>
    </w:pPr>
    <w:rPr>
      <w:rFonts w:hint="eastAsia" w:ascii="宋体" w:hAnsi="宋体" w:cs="宋体"/>
      <w:color w:val="000000"/>
      <w:szCs w:val="18"/>
    </w:rPr>
  </w:style>
  <w:style w:type="table" w:customStyle="1" w:styleId="8">
    <w:name w:val="dqbgxx"/>
    <w:basedOn w:val="3"/>
    <w:qFormat/>
    <w:uiPriority w:val="99"/>
    <w:pPr>
      <w:spacing w:line="288" w:lineRule="auto"/>
      <w:jc w:val="center"/>
    </w:pPr>
    <w:rPr>
      <w:rFonts w:eastAsia="黑体"/>
      <w:color w:val="000000"/>
      <w:sz w:val="22"/>
    </w:rPr>
    <w:tblPr>
      <w:tblBorders>
        <w:top w:val="single" w:color="auto" w:sz="4" w:space="0"/>
        <w:bottom w:val="single" w:color="auto" w:sz="4" w:space="0"/>
        <w:insideH w:val="single" w:color="auto" w:sz="4" w:space="0"/>
        <w:insideV w:val="single" w:color="auto" w:sz="4" w:space="0"/>
      </w:tblBorders>
    </w:tblPr>
    <w:tcPr>
      <w:vAlign w:val="center"/>
    </w:tcPr>
    <w:tblStylePr w:type="firstRow">
      <w:rPr>
        <w:rFonts w:eastAsia="黑体"/>
        <w:b/>
        <w:sz w:val="22"/>
      </w:rPr>
    </w:tblStylePr>
    <w:tblStylePr w:type="firstCol">
      <w:rPr>
        <w:rFonts w:eastAsia="黑体"/>
        <w:b/>
      </w:rPr>
    </w:tblStylePr>
  </w:style>
  <w:style w:type="paragraph" w:customStyle="1" w:styleId="9">
    <w:name w:val="结尾"/>
    <w:basedOn w:val="1"/>
    <w:qFormat/>
    <w:uiPriority w:val="0"/>
    <w:pPr>
      <w:widowControl/>
      <w:spacing w:before="120" w:after="120" w:line="360" w:lineRule="atLeast"/>
      <w:ind w:firstLine="0" w:firstLineChars="0"/>
      <w:jc w:val="center"/>
      <w:outlineLvl w:val="0"/>
    </w:pPr>
    <w:rPr>
      <w:rFonts w:hint="eastAsia" w:ascii="宋体" w:hAnsi="宋体"/>
      <w:kern w:val="0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1180</Words>
  <Characters>1638</Characters>
  <Lines>10</Lines>
  <Paragraphs>3</Paragraphs>
  <TotalTime>0</TotalTime>
  <ScaleCrop>false</ScaleCrop>
  <LinksUpToDate>false</LinksUpToDate>
  <CharactersWithSpaces>1638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w_wangweihua</dc:creator>
  <cp:lastModifiedBy>Echo</cp:lastModifiedBy>
  <dcterms:modified xsi:type="dcterms:W3CDTF">2025-04-11T06:29:58Z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E055EEA8CAE5416D9F0294427939CAD0_13</vt:lpwstr>
  </property>
</Properties>
</file>